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jc w:val="center"/>
        <w:textAlignment w:val="auto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都蓝热力供热一次管网(四期)工程项目贷款集合资金信托计划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jc w:val="center"/>
        <w:textAlignment w:val="auto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  <w:t>信托资金管理报告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（2023</w:t>
      </w:r>
      <w:r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  <w:t>年第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二</w:t>
      </w:r>
      <w:r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  <w:t>季度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尊敬的委托人/受益人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华宸信托有限责任公司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以下简称“本公司”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发起设立的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“都蓝热力供热一次管网(四期)工程项目贷款集合资金信托计划”（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以下简称“本信托计划”或“信托计划”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2021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日依法成立。本公司作为受托人向您报告本信托计划成立后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2023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年第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二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季度的信托事务管理事宜。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一、信托计划基本情况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1、信托计划名称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：都蓝热力供热一次管网(四期)工程项目贷款集合资金信托计划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2、信托计划受托人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华宸信托有限责任公司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3、信托计划成立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日：2021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4、信托计划规模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人民币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5500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5、信托计划期限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：12个月期【2021年5月14日至2022年5月13日】信托本金1000万元；24个月期【2021年5月14日至2023年5月13日】信托本金2000万元；36个月期【2021年5月14日至2024年5月13日】信托本金2500万元；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6、截至报告期末信托余额：人民币2500万元。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  <w:t>二、信托财产保管户开立情况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本公司为该项目设立了信托专户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开户名称：华宸信托有限责任公司-都蓝热力供热一次管网(四期)工程项目贷款集合资金信托计划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开户银行：招商银行股份有限公司呼和浩特分行营业部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开户账号：7559 1457 4710 805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  <w:t>三、信托计划的管理、运用、处分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受托人根据《信托公司管理办法》及《信托公司集合资金信托计划管理办法》为本信托计划开立了专门的信托财产账户，建立了单独的会计账户进行管理和核算。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自本信托计划成立起至本日，受托人恪尽职守、勤勉尽责、谨慎管理，忠实履行有关法律、行政法规和本项目信托文件的规定，根据信托业务的需要设置不同的部门和岗位，以实现各部门、岗位间的相互监督和制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信托计划成立起至本日，受托人按照信托文件的规定，将信托资金用于向额济纳旗都蓝热力有限责任公司发放信托贷款。自本信托计划成立起至本日，受托人没有发现信托计划资金任何挪用情况发生，项目按照有关信托文件运行正常，融资方经营情况及财务状况正常。且没有发生能够影响信托财产安全及受益人利益的其他情况。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至本报告期末，信托专户资金余额为人民币1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530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460.44元。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  <w:t>四、信托财产收入、估值及信托利益分配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截至2023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本计划信托资产总计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25,454,216.52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元，其中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货币资金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530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460.44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元，发放贷款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923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756.08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元；信托负债合计为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0元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；信托权益合计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25,454,216.52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元，其中：实收信托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5,000,000.00元，未分配利润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454,216.52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截止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2023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日，受托人管理信托财产产生的信托收入合计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2,014,233.54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元，全部为利息收入。截止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2023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日，支出费用合计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280,892.46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元，其中：受托人报酬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273,375.00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元，营业税金及附加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7,099.50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银行结算费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417.96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元。可供分配的信托利润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2,199,961.50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元，本期已分配信托收益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1,745,744.98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元，期末未分配信托利润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454,216.52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截止本报告期最后一日，信托计划单位净值为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0182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，累计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净值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1728</w:t>
      </w:r>
      <w:r>
        <w:rPr>
          <w:rFonts w:hint="default" w:ascii="仿宋" w:hAnsi="仿宋" w:eastAsia="仿宋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特别提示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本信托计划投资的资产不具备活跃交易市场，估值结果可能和最终实际分配清库存在偏差，最终应以实际分配结果为准。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  <w:t>五、其他事项披露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1、本报告期间信托经理未变更。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2、本报告期间信托财产运用无重大变动情况。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3、本报告期间无涉及诉讼或者损害信托财产、受益人利益的情形发生。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4、依据《信托合同》无需要披露的其他事项。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  <w:t>六、结论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本报告期内，信托财产运用符合信托文件的约定，信托运行稳定，没有发现信托的重大不利情况。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受托人今后将继续严格按照信托文件的约定，勤勉尽责，谨慎、有效管理，努力实现受益人利益最大化。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righ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华宸信托有限责任公司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center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                           2023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MmMwZDdhZTU5MDUwZDZlYTc2ZjY2ZWRiNDNmYzcifQ=="/>
  </w:docVars>
  <w:rsids>
    <w:rsidRoot w:val="00000000"/>
    <w:rsid w:val="00191A16"/>
    <w:rsid w:val="05FB05D8"/>
    <w:rsid w:val="11153ED7"/>
    <w:rsid w:val="150C1E45"/>
    <w:rsid w:val="1A51587B"/>
    <w:rsid w:val="1E814934"/>
    <w:rsid w:val="2A6B7C81"/>
    <w:rsid w:val="2C3B0C9A"/>
    <w:rsid w:val="386E19A2"/>
    <w:rsid w:val="3D7D40D5"/>
    <w:rsid w:val="46D56DC3"/>
    <w:rsid w:val="48ED7100"/>
    <w:rsid w:val="4FAB1A3E"/>
    <w:rsid w:val="516768E8"/>
    <w:rsid w:val="56020EB5"/>
    <w:rsid w:val="592F77B3"/>
    <w:rsid w:val="611743A5"/>
    <w:rsid w:val="62F90355"/>
    <w:rsid w:val="64206ECA"/>
    <w:rsid w:val="69DE379B"/>
    <w:rsid w:val="6BF414AC"/>
    <w:rsid w:val="73CC2623"/>
    <w:rsid w:val="795647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1379</Words>
  <Characters>1640</Characters>
  <Lines>0</Lines>
  <Paragraphs>0</Paragraphs>
  <TotalTime>1</TotalTime>
  <ScaleCrop>false</ScaleCrop>
  <LinksUpToDate>false</LinksUpToDate>
  <CharactersWithSpaces>1678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WPS_1643418190</cp:lastModifiedBy>
  <dcterms:modified xsi:type="dcterms:W3CDTF">2023-07-05T02:31:02Z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67A3BE99DC744C929EBA87CCB42501D9_13</vt:lpwstr>
  </property>
</Properties>
</file>