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62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华宸信托·宸兴2号债券投资集合资金信托计划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62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季度资金管理报告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620" w:lineRule="exact"/>
        <w:jc w:val="center"/>
        <w:textAlignment w:val="auto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（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2023</w:t>
      </w:r>
      <w:r>
        <w:rPr>
          <w:rFonts w:hint="eastAsia" w:ascii="宋体" w:hAnsi="宋体" w:eastAsia="宋体" w:cs="宋体"/>
          <w:sz w:val="36"/>
          <w:szCs w:val="36"/>
        </w:rPr>
        <w:t>年第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二</w:t>
      </w:r>
      <w:r>
        <w:rPr>
          <w:rFonts w:hint="eastAsia" w:ascii="宋体" w:hAnsi="宋体" w:eastAsia="宋体" w:cs="宋体"/>
          <w:sz w:val="36"/>
          <w:szCs w:val="36"/>
        </w:rPr>
        <w:t>季度）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尊敬的委托人/受益人：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</w:rPr>
        <w:t>华宸信托有限责任公司（以下简称“本公司”）发起设立的“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华宸信托·宸兴2号债券投资集合资金信托计划”（以下简称“本信托计划”或“信托计划”）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第一期和第二期已依法成立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。本公司作为受托人向您报告本信托计划成立后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2023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年第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季度的信托事务管理事宜。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62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一、信托计划基本情况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</w:rPr>
        <w:t>1、信托计划名称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：华宸信托·宸兴2号债券投资集合资金信托计划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2、信托计划受托人：华宸信托有限责任公司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3、信托计划成立日：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第一期：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2022年12月9日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                 第二期：2023年2月10日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2880" w:hanging="2880" w:hangingChars="9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4、信托计划规模：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第一期信托规模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10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,670.00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2880" w:firstLineChars="900"/>
        <w:textAlignment w:val="auto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第二期信托规模9,865.00万元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5、信托计划期限：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第一期自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2022年12月9日至2024年3月19日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2560" w:firstLineChars="8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第二期自2023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日至2024年3月19日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二、信托财产保管户开立情况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本公司为该项目设立了信托专户：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</w:rPr>
        <w:t>开户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名称：华宸信托有限责任公司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开户银行：兴业银行股份有限公司呼和浩特分行营业部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开户账号：5920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1010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0101 3387 77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62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三、信托计划的管理、运用、处分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（一）受托人根据《信托公司管理办法》及《信托公司集合资金信托计划管理办法》为本信托计划开立了专门的信托财产账户，建立了单独的会计账户进行管理和核算。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自本信托计划成立起至本日，受托人恪尽职守、勤勉尽责、谨慎管理，忠实履行有关法律、行政法规和本项目信托文件的规定，根据信托业务的需要设置不同的部门和岗位，以实现各部门、岗位间的相互监督和制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</w:rPr>
        <w:t>（三）信托计划成立起至本日，受托人按照信托文件的规定，将信托资金用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于投资标的债券</w:t>
      </w:r>
      <w:r>
        <w:rPr>
          <w:rFonts w:hint="eastAsia" w:ascii="仿宋" w:hAnsi="仿宋" w:eastAsia="仿宋" w:cs="仿宋"/>
          <w:sz w:val="32"/>
          <w:szCs w:val="32"/>
        </w:rPr>
        <w:t>。自本信托计划成立起至本日，受托人没有发现信托计划资金任何挪用情况发生，项目按照有关信托文件运行正常，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债券发行人</w:t>
      </w:r>
      <w:r>
        <w:rPr>
          <w:rFonts w:hint="eastAsia" w:ascii="仿宋" w:hAnsi="仿宋" w:eastAsia="仿宋" w:cs="仿宋"/>
          <w:sz w:val="32"/>
          <w:szCs w:val="32"/>
        </w:rPr>
        <w:t>经营情况及财务状况正常。且没有发生能够影响信托财产安全及受益人利益的其他情况。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至本报告期末，信托专户资金余额为人民币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10,449,671.24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62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四、信托财产收入、估值及信托利益分配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</w:rPr>
        <w:t>截止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6月30日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本计划信托资产总计 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211,460,999.42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元，其中：货币资金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10,449,671.24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元，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交易性金融资产201,010,591.84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元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应收账款736.34元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；信托负债合计为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253,023.58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元，其中：应交税费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118,395.88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元，应付受托人报酬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119,045.14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元，应付托管费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4,901.04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元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其他应付款项10,681.52元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；信托权益合计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211,207,975.84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元，其中：实收信托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205,350,000.00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元，未分配利润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5,857,975.84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</w:rPr>
        <w:t>截止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2023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6月30日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受托人管理信托财产产生的信托收入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合计7,593,896.50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元，其中：利息收入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81,609.90元，投资收益5,426,901.60元，公允价值变动损益2,085,385.00元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。截止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2023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6月30日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，支出费用合计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218,186.00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元，其中：受托人报酬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182,581.23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元，营业税金及附加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20,358.47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元，托管费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4,564.78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元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,律师费3,500.00元，资料印刷费2,250.00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元，银行服务费4,891.52元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可供分配的信托利润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8,053,683.37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元，已分配信托收益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2,195,707.53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元，期末未分配信托利润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5,857,975.84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截止本报告期最后一日，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信托计划一期单位净值为1.0286，累计净值1.0441；信托计划二期单位净值为1.0284，累计净值1.0340。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特别提示：本信托计划投资的资产不具备活跃交易市场，估值结果可能和最终实际分配清库存在偏差，最终应以实际分配结果为准。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62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五、其他事项披露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1、本报告期间信托经理未变更。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2、本报告期间信托财产运用无重大变动情况。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3、本报告期间无涉及诉讼或者损害信托财产、受益人利益的情形发生。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4、依据《信托合同》无需要披露的其他事项。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62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六、结论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本报告期内，信托财产运用符合信托文件的约定，信托运行稳定，没有发现信托的重大不利情况。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受托人今后将继续严格按照信托文件的约定，勤勉尽责，谨慎、有效管理，努力实现受益人利益最大化。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华宸信托有限责任公司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4MmMwZDdhZTU5MDUwZDZlYTc2ZjY2ZWRiNDNmYzcifQ=="/>
    <w:docVar w:name="KSO_WPS_MARK_KEY" w:val="1da9219b-94ad-4d07-a6e3-656ab4e5ff37"/>
  </w:docVars>
  <w:rsids>
    <w:rsidRoot w:val="6CC62633"/>
    <w:rsid w:val="0BDE6554"/>
    <w:rsid w:val="132564E3"/>
    <w:rsid w:val="13A565A9"/>
    <w:rsid w:val="1C657BC3"/>
    <w:rsid w:val="27037402"/>
    <w:rsid w:val="2A983743"/>
    <w:rsid w:val="3A160EE6"/>
    <w:rsid w:val="3A923F4F"/>
    <w:rsid w:val="3BAB3ABC"/>
    <w:rsid w:val="46EA3284"/>
    <w:rsid w:val="4C92223F"/>
    <w:rsid w:val="52FC4B82"/>
    <w:rsid w:val="55E774B9"/>
    <w:rsid w:val="56DF0A43"/>
    <w:rsid w:val="5823361D"/>
    <w:rsid w:val="5D11431E"/>
    <w:rsid w:val="5EA1682C"/>
    <w:rsid w:val="6C2F4656"/>
    <w:rsid w:val="6C354F35"/>
    <w:rsid w:val="6CC62633"/>
    <w:rsid w:val="73D15176"/>
    <w:rsid w:val="775D1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color w:val="2786E4"/>
      <w:u w:val="none"/>
    </w:rPr>
  </w:style>
  <w:style w:type="character" w:customStyle="1" w:styleId="5">
    <w:name w:val="rec-status-desc"/>
    <w:basedOn w:val="3"/>
    <w:uiPriority w:val="0"/>
  </w:style>
  <w:style w:type="character" w:customStyle="1" w:styleId="6">
    <w:name w:val="rec-volume"/>
    <w:basedOn w:val="3"/>
    <w:uiPriority w:val="0"/>
  </w:style>
  <w:style w:type="character" w:customStyle="1" w:styleId="7">
    <w:name w:val="rec-time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1362</Words>
  <Characters>1711</Characters>
  <Lines>0</Lines>
  <Paragraphs>0</Paragraphs>
  <TotalTime>16</TotalTime>
  <ScaleCrop>false</ScaleCrop>
  <LinksUpToDate>false</LinksUpToDate>
  <CharactersWithSpaces>1767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2023-01-05T01:04:00Z</dcterms:created>
  <dc:creator>张晓宇</dc:creator>
  <cp:lastModifiedBy>WPS_1643418190</cp:lastModifiedBy>
  <dcterms:modified xsi:type="dcterms:W3CDTF">2023-07-05T02:49:23Z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FE488686C9B9448691B238EB780FE391_13</vt:lpwstr>
  </property>
</Properties>
</file>